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/>
          <w:b/>
          <w:sz w:val="24"/>
          <w:szCs w:val="28"/>
        </w:rPr>
      </w:pPr>
    </w:p>
    <w:p>
      <w:pPr>
        <w:jc w:val="center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四川轻化工大学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工会委员会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特殊事项报销审批表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701"/>
        <w:gridCol w:w="992"/>
        <w:gridCol w:w="341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eastAsia="zh-CN"/>
              </w:rPr>
              <w:t>分工会或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eastAsia="zh-CN"/>
              </w:rPr>
              <w:t>协会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Calibri" w:eastAsia="宋体" w:cs="Times New Roman"/>
                <w:szCs w:val="21"/>
                <w:lang w:eastAsia="zh-CN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姓名</w:t>
            </w:r>
          </w:p>
        </w:tc>
        <w:tc>
          <w:tcPr>
            <w:tcW w:w="3486" w:type="dxa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未使用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公务卡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公务卡尚在办理中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对方不支持使用公务卡（对方签章的书面证明）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公务卡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到期新卡未到</w:t>
            </w:r>
          </w:p>
        </w:tc>
        <w:tc>
          <w:tcPr>
            <w:tcW w:w="4819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其他原因及具体说明：附其他方式支付证明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未在政府采购网上购买机票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校验不通过（附截图）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其它网站价格更便宜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（附购票当时网站价格对比截图）</w:t>
            </w:r>
          </w:p>
        </w:tc>
        <w:tc>
          <w:tcPr>
            <w:tcW w:w="4819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住宿费或城市间交通费等特殊情况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产生退票费（具体说明）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Wingdings 2" w:eastAsia="宋体" w:cs="Times New Roman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无车票（附具体说明）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3.</w:t>
            </w:r>
            <w:r>
              <w:rPr>
                <w:rFonts w:hint="eastAsia" w:ascii="宋体" w:hAnsi="宋体" w:eastAsia="宋体" w:cs="Times New Roman"/>
                <w:szCs w:val="21"/>
              </w:rPr>
              <w:t>无住宿费发票（附具体说明）</w:t>
            </w:r>
          </w:p>
        </w:tc>
        <w:tc>
          <w:tcPr>
            <w:tcW w:w="4819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其他情况及具体说明：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用非公共交通工具情况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用车信息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车主姓名：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，车牌号：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，百公里油耗：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升，往返约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公里，本次出差期间油费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元，过路费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元，合计金额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5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报销说明：出差人员提供本次差旅加油发票、根据自驾车往返公里数、百公里油耗和油价情况据实报销。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其他发生特殊事项情况</w:t>
            </w:r>
          </w:p>
        </w:tc>
        <w:tc>
          <w:tcPr>
            <w:tcW w:w="7654" w:type="dxa"/>
            <w:gridSpan w:val="5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072" w:type="dxa"/>
            <w:gridSpan w:val="6"/>
          </w:tcPr>
          <w:p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本人承诺，对所述情况的真实性负完全责任。</w:t>
            </w:r>
          </w:p>
          <w:p>
            <w:pPr>
              <w:ind w:firstLine="3255" w:firstLineChars="1550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承诺人：（签字）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0" w:firstLineChars="300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552" w:type="dxa"/>
            <w:gridSpan w:val="2"/>
          </w:tcPr>
          <w:p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经办人（签字）：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证明人（签字）: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  <w:lang w:eastAsia="zh-CN"/>
              </w:rPr>
              <w:t>分工会或协会</w:t>
            </w:r>
            <w:r>
              <w:rPr>
                <w:rFonts w:hint="eastAsia" w:ascii="宋体" w:hAnsi="Calibri" w:eastAsia="宋体" w:cs="Times New Roman"/>
                <w:b/>
                <w:szCs w:val="21"/>
              </w:rPr>
              <w:t>负责人意见（签字）：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ind w:firstLine="1785" w:firstLineChars="8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年   月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hlMzU0NDI3YmViZGVlZWNjOGQzMDY5NTUzMzgifQ=="/>
  </w:docVars>
  <w:rsids>
    <w:rsidRoot w:val="0E3C7B20"/>
    <w:rsid w:val="02C723E6"/>
    <w:rsid w:val="0E3C7B20"/>
    <w:rsid w:val="0EDE49A5"/>
    <w:rsid w:val="2F737C80"/>
    <w:rsid w:val="4C4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431</Characters>
  <Lines>0</Lines>
  <Paragraphs>0</Paragraphs>
  <TotalTime>0</TotalTime>
  <ScaleCrop>false</ScaleCrop>
  <LinksUpToDate>false</LinksUpToDate>
  <CharactersWithSpaces>478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2020-01-08T07:23:00Z</dcterms:created>
  <dc:creator>真全顺</dc:creator>
  <cp:lastModifiedBy>Administrator</cp:lastModifiedBy>
  <dcterms:modified xsi:type="dcterms:W3CDTF">2024-03-29T05:47:51Z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4AF684ACACEF4C2584A88B3D3D06AB48</vt:lpwstr>
  </property>
</Properties>
</file>